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Pr="00922FD8" w:rsidRDefault="003E24C6" w:rsidP="003E24C6">
      <w:pPr>
        <w:pStyle w:val="Paragrafobase"/>
        <w:suppressAutoHyphens/>
        <w:jc w:val="both"/>
        <w:rPr>
          <w:rFonts w:ascii="Titillium Up" w:hAnsi="Titillium Up" w:cs="Calibri"/>
          <w:color w:val="auto"/>
        </w:rPr>
      </w:pPr>
    </w:p>
    <w:bookmarkStart w:id="0" w:name="Elenco1"/>
    <w:p w:rsidR="003E24C6" w:rsidRPr="00647B5A" w:rsidRDefault="003E24C6" w:rsidP="003E24C6">
      <w:pPr>
        <w:spacing w:after="0"/>
        <w:ind w:left="5664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1"/>
            <w:enabled/>
            <w:calcOnExit w:val="0"/>
            <w:ddList>
              <w:listEntry w:val="Egr. Sig."/>
              <w:listEntry w:val="Gent. Sig.a"/>
              <w:listEntry w:val="Spett.le"/>
            </w:ddList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0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b/>
          <w:noProof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  <w:t xml:space="preserve"> </w:t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647B5A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 xml:space="preserve"> </w:t>
      </w:r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end"/>
      </w:r>
      <w:bookmarkEnd w:id="1"/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" w:name="Testo22"/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instrText xml:space="preserve"> FORMTEXT </w:instrTex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 xml:space="preserve"> </w: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end"/>
      </w:r>
      <w:bookmarkEnd w:id="2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647B5A">
        <w:rPr>
          <w:rFonts w:ascii="Verdana" w:eastAsia="Meiryo UI" w:hAnsi="Verdana" w:cs="Utsaah"/>
          <w:sz w:val="20"/>
          <w:szCs w:val="20"/>
          <w:lang w:val="de-DE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noProof/>
          <w:sz w:val="20"/>
          <w:szCs w:val="20"/>
          <w:lang w:val="de-DE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end"/>
      </w:r>
      <w:bookmarkEnd w:id="3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Monza,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4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p w:rsidR="003E24C6" w:rsidRDefault="003E24C6" w:rsidP="003E24C6">
      <w:pPr>
        <w:pStyle w:val="Titolo1"/>
        <w:ind w:left="142"/>
        <w:jc w:val="center"/>
        <w:rPr>
          <w:rFonts w:ascii="Verdana" w:eastAsia="Meiryo UI" w:hAnsi="Verdana" w:cs="Utsaah"/>
          <w:color w:val="auto"/>
          <w:sz w:val="20"/>
          <w:u w:val="single"/>
        </w:rPr>
      </w:pPr>
      <w:r w:rsidRPr="00647B5A">
        <w:rPr>
          <w:rFonts w:ascii="Verdana" w:eastAsia="Meiryo UI" w:hAnsi="Verdana" w:cs="Utsaah"/>
          <w:color w:val="auto"/>
          <w:sz w:val="20"/>
          <w:u w:val="single"/>
        </w:rPr>
        <w:t>RESPONSABILITA’ CIVILE PROFESSIONI AMMINISTRATIVO/LEGALI</w:t>
      </w:r>
    </w:p>
    <w:p w:rsidR="00C86208" w:rsidRPr="00C86208" w:rsidRDefault="00C86208" w:rsidP="00C86208">
      <w:pPr>
        <w:jc w:val="center"/>
        <w:rPr>
          <w:rFonts w:ascii="Verdana" w:hAnsi="Verdana"/>
          <w:sz w:val="14"/>
          <w:szCs w:val="20"/>
          <w:lang w:eastAsia="it-IT"/>
        </w:rPr>
      </w:pPr>
      <w:r w:rsidRPr="00C86208">
        <w:rPr>
          <w:rFonts w:ascii="Verdana" w:hAnsi="Verdana"/>
          <w:sz w:val="14"/>
          <w:szCs w:val="20"/>
          <w:lang w:eastAsia="it-IT"/>
        </w:rPr>
        <w:t>(mod. 5212 RCG)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IL RISCHIO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Attività di </w:t>
      </w:r>
      <w:r w:rsidR="00C86208">
        <w:rPr>
          <w:rFonts w:ascii="Verdana" w:eastAsia="Meiryo UI" w:hAnsi="Verdana" w:cs="Utsaah"/>
          <w:sz w:val="20"/>
          <w:szCs w:val="20"/>
        </w:rPr>
        <w:t xml:space="preserve"> </w:t>
      </w:r>
      <w:r w:rsidR="00A07094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5"/>
            <w:enabled/>
            <w:calcOnExit w:val="0"/>
            <w:ddList>
              <w:listEntry w:val="avvocato"/>
              <w:listEntry w:val="commercialista"/>
              <w:listEntry w:val="perito commerciale"/>
              <w:listEntry w:val="consulente del lavoro"/>
              <w:listEntry w:val="notaio"/>
              <w:listEntry w:val="società di servizi"/>
              <w:listEntry w:val="amministratore di immobili"/>
            </w:ddList>
          </w:ffData>
        </w:fldChar>
      </w:r>
      <w:bookmarkStart w:id="5" w:name="Elenco5"/>
      <w:r w:rsidR="00A07094"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="00A07094">
        <w:rPr>
          <w:rFonts w:ascii="Verdana" w:eastAsia="Meiryo UI" w:hAnsi="Verdana" w:cs="Utsaah"/>
          <w:sz w:val="20"/>
          <w:szCs w:val="20"/>
        </w:rPr>
        <w:fldChar w:fldCharType="end"/>
      </w:r>
      <w:bookmarkEnd w:id="5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Ubicazione studio: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>idem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Iscritti al relativo A</w:t>
      </w:r>
      <w:r w:rsidRPr="00647B5A">
        <w:rPr>
          <w:rFonts w:ascii="Verdana" w:eastAsia="Meiryo UI" w:hAnsi="Verdana" w:cs="Utsaah"/>
          <w:sz w:val="20"/>
          <w:szCs w:val="20"/>
        </w:rPr>
        <w:t xml:space="preserve">lbo di categoria: </w:t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7"/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8" w:name="Testo21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</w:p>
    <w:p w:rsidR="00594771" w:rsidRDefault="003E24C6" w:rsidP="00594771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</w:p>
    <w:p w:rsidR="003E24C6" w:rsidRPr="00594771" w:rsidRDefault="003E24C6" w:rsidP="00594771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594771">
        <w:rPr>
          <w:rFonts w:ascii="Verdana" w:eastAsia="Meiryo UI" w:hAnsi="Verdana" w:cs="Utsaah"/>
          <w:b/>
          <w:sz w:val="20"/>
          <w:szCs w:val="20"/>
        </w:rPr>
        <w:t>LE GARANZIE</w:t>
      </w:r>
    </w:p>
    <w:p w:rsidR="003E24C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Per fatto degli addetti allo studio e praticanti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Altri professionisti non dello studio dei quali egli si avvalga per le proprie prestazioni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Sanzioni, multe e ammende inflitte ai propri clienti per comportamenti colposi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Violazioni norme sulla privacy (limite del 10% del massimale)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Perdita, distruzione, deterioramento di documenti, atti o titoli non al portatore anche se per incendio, furto o rapina (limite del 30% del massimale)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Mancato o ritardato inizio, interruzione o sospensione di attività commerciali, industriali, agricole o di servizi (limite di € 250.000)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Incarichi di consulente tecnico d’ufficio da parte delle Autorità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Incarichi di mediatore (D.Lgs. 28/2010)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Funzioni di arbitro ai sensi art. 806 CPC</w:t>
      </w:r>
    </w:p>
    <w:p w:rsidR="00A07094" w:rsidRDefault="00A070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Elaborazione e trascrizione dati anche di società diverse dall’assicurato</w:t>
      </w:r>
      <w:r w:rsidR="007A2F06">
        <w:rPr>
          <w:rFonts w:ascii="Verdana" w:eastAsia="Meiryo UI" w:hAnsi="Verdana" w:cs="Utsaah"/>
          <w:sz w:val="20"/>
          <w:szCs w:val="20"/>
        </w:rPr>
        <w:t xml:space="preserve"> (esclusi  C.A.A.F.)</w:t>
      </w:r>
    </w:p>
    <w:p w:rsidR="00A07094" w:rsidRDefault="00A070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Trasmissione telematica delle dichiarazioni fiscali redatte e elaborate da persone diverse dall’assicurato</w:t>
      </w:r>
    </w:p>
    <w:p w:rsidR="00A07094" w:rsidRDefault="00A070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Custodia di valori e preziosi in deposito dai clienti, in mezzi di custodia chiusi (limite </w:t>
      </w:r>
    </w:p>
    <w:p w:rsidR="00A07094" w:rsidRDefault="00A07094" w:rsidP="00A07094">
      <w:pPr>
        <w:pStyle w:val="Paragrafoelenco"/>
        <w:spacing w:after="0"/>
        <w:ind w:left="86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€ 2.000 per sinistro e € 5.000 per anno)</w:t>
      </w:r>
    </w:p>
    <w:p w:rsidR="00A07094" w:rsidRDefault="00A070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Attività di amministratore di immobili condominiali</w:t>
      </w:r>
    </w:p>
    <w:p w:rsidR="00A07094" w:rsidRPr="00365B76" w:rsidRDefault="00A070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Retroattività della garanzia di 5 anni dalla decorrenza</w:t>
      </w:r>
      <w:r w:rsidR="007A2F06">
        <w:rPr>
          <w:rFonts w:ascii="Verdana" w:eastAsia="Meiryo UI" w:hAnsi="Verdana" w:cs="Utsaah"/>
          <w:sz w:val="20"/>
          <w:szCs w:val="20"/>
        </w:rPr>
        <w:t xml:space="preserve"> (esclusa attività di sindaco o revisore dei conti)</w:t>
      </w:r>
    </w:p>
    <w:p w:rsidR="00A07094" w:rsidRDefault="00A07094" w:rsidP="00A07094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A07094" w:rsidRPr="00A07094" w:rsidRDefault="00A07094" w:rsidP="00A07094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A07094">
        <w:rPr>
          <w:rFonts w:ascii="Verdana" w:eastAsia="Meiryo UI" w:hAnsi="Verdana" w:cs="Utsaah"/>
          <w:b/>
          <w:sz w:val="20"/>
          <w:szCs w:val="20"/>
        </w:rPr>
        <w:t>I LIMITI</w:t>
      </w:r>
    </w:p>
    <w:p w:rsidR="00A07094" w:rsidRDefault="00A07094" w:rsidP="00A07094">
      <w:p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S</w:t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coperto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3"/>
            <w:enabled/>
            <w:calcOnExit w:val="0"/>
            <w:textInput>
              <w:type w:val="number"/>
              <w:maxLength w:val="2"/>
            </w:textInput>
          </w:ffData>
        </w:fldChar>
      </w:r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sz w:val="20"/>
          <w:szCs w:val="20"/>
        </w:rPr>
        <w:t>10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% minimo €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9" w:name="Testo24"/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noProof/>
          <w:sz w:val="20"/>
          <w:szCs w:val="20"/>
        </w:rPr>
        <w:t>1.500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  <w:r w:rsidR="003E24C6" w:rsidRPr="00647B5A">
        <w:rPr>
          <w:rFonts w:ascii="Verdana" w:eastAsia="Meiryo UI" w:hAnsi="Verdana" w:cs="Utsaah"/>
          <w:sz w:val="20"/>
          <w:szCs w:val="20"/>
        </w:rPr>
        <w:t xml:space="preserve"> e massimo €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noProof/>
          <w:sz w:val="20"/>
          <w:szCs w:val="20"/>
        </w:rPr>
        <w:t>30.000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 oppure, in alternativa, franchigia fissa </w:t>
      </w:r>
    </w:p>
    <w:p w:rsidR="003E24C6" w:rsidRPr="00647B5A" w:rsidRDefault="003E24C6" w:rsidP="00A07094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€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>3.000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LE CONDIZIONI FACOLTATIVE</w:t>
      </w:r>
    </w:p>
    <w:p w:rsidR="00A07094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1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0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A - </w:t>
      </w:r>
      <w:r w:rsidRPr="00647B5A">
        <w:rPr>
          <w:rFonts w:ascii="Verdana" w:eastAsia="Meiryo UI" w:hAnsi="Verdana" w:cs="Utsaah"/>
          <w:sz w:val="20"/>
          <w:szCs w:val="20"/>
        </w:rPr>
        <w:t xml:space="preserve">Funzioni di sindaco di società e revisore legale dei conti (scoperto </w:t>
      </w:r>
      <w:r w:rsidR="00A07094">
        <w:rPr>
          <w:rFonts w:ascii="Verdana" w:eastAsia="Meiryo UI" w:hAnsi="Verdana" w:cs="Utsaah"/>
          <w:sz w:val="20"/>
          <w:szCs w:val="20"/>
        </w:rPr>
        <w:t>20</w:t>
      </w:r>
      <w:r w:rsidRPr="00647B5A">
        <w:rPr>
          <w:rFonts w:ascii="Verdana" w:eastAsia="Meiryo UI" w:hAnsi="Verdana" w:cs="Utsaah"/>
          <w:sz w:val="20"/>
          <w:szCs w:val="20"/>
        </w:rPr>
        <w:t xml:space="preserve">% massimo </w:t>
      </w:r>
    </w:p>
    <w:p w:rsidR="003E24C6" w:rsidRPr="00647B5A" w:rsidRDefault="00A07094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   </w:t>
      </w:r>
      <w:r w:rsidR="003E24C6" w:rsidRPr="00647B5A">
        <w:rPr>
          <w:rFonts w:ascii="Verdana" w:eastAsia="Meiryo UI" w:hAnsi="Verdana" w:cs="Utsaah"/>
          <w:sz w:val="20"/>
          <w:szCs w:val="20"/>
        </w:rPr>
        <w:t>€ 30.000</w:t>
      </w:r>
      <w:r>
        <w:rPr>
          <w:rFonts w:ascii="Verdana" w:eastAsia="Meiryo UI" w:hAnsi="Verdana" w:cs="Utsaah"/>
          <w:sz w:val="20"/>
          <w:szCs w:val="20"/>
        </w:rPr>
        <w:t xml:space="preserve"> </w:t>
      </w:r>
      <w:r w:rsidR="003E24C6" w:rsidRPr="00647B5A">
        <w:rPr>
          <w:rFonts w:ascii="Verdana" w:eastAsia="Meiryo UI" w:hAnsi="Verdana" w:cs="Utsaah"/>
          <w:sz w:val="20"/>
          <w:szCs w:val="20"/>
        </w:rPr>
        <w:t>– limite di</w:t>
      </w:r>
      <w:r w:rsidR="003E24C6">
        <w:rPr>
          <w:rFonts w:ascii="Verdana" w:eastAsia="Meiryo UI" w:hAnsi="Verdana" w:cs="Utsaah"/>
          <w:sz w:val="20"/>
          <w:szCs w:val="20"/>
        </w:rPr>
        <w:t xml:space="preserve"> </w:t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indennizzo </w:t>
      </w:r>
      <w:r>
        <w:rPr>
          <w:rFonts w:ascii="Verdana" w:eastAsia="Meiryo UI" w:hAnsi="Verdana" w:cs="Utsaah"/>
          <w:sz w:val="20"/>
          <w:szCs w:val="20"/>
        </w:rPr>
        <w:t xml:space="preserve">30% del massimale con limite di </w:t>
      </w:r>
      <w:r w:rsidR="003E24C6" w:rsidRPr="00647B5A">
        <w:rPr>
          <w:rFonts w:ascii="Verdana" w:eastAsia="Meiryo UI" w:hAnsi="Verdana" w:cs="Utsaah"/>
          <w:sz w:val="20"/>
          <w:szCs w:val="20"/>
        </w:rPr>
        <w:t>€ 500.000)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2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1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B - </w:t>
      </w:r>
      <w:r w:rsidRPr="00647B5A">
        <w:rPr>
          <w:rFonts w:ascii="Verdana" w:eastAsia="Meiryo UI" w:hAnsi="Verdana" w:cs="Utsaah"/>
          <w:sz w:val="20"/>
          <w:szCs w:val="20"/>
        </w:rPr>
        <w:t>Funzioni connesse alle procedure concorsuali previste dalla legge fallimentare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3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2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C - </w:t>
      </w:r>
      <w:r w:rsidRPr="00647B5A">
        <w:rPr>
          <w:rFonts w:ascii="Verdana" w:eastAsia="Meiryo UI" w:hAnsi="Verdana" w:cs="Utsaah"/>
          <w:sz w:val="20"/>
          <w:szCs w:val="20"/>
        </w:rPr>
        <w:t>Incarichi di natura giudiziaria</w:t>
      </w:r>
    </w:p>
    <w:p w:rsidR="007A2F06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4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3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D1 - </w:t>
      </w:r>
      <w:r w:rsidRPr="00647B5A">
        <w:rPr>
          <w:rFonts w:ascii="Verdana" w:eastAsia="Meiryo UI" w:hAnsi="Verdana" w:cs="Utsaah"/>
          <w:sz w:val="20"/>
          <w:szCs w:val="20"/>
        </w:rPr>
        <w:t>Rilascio visto di conformità, certificazione tributaria e asseverazione studi di settore</w:t>
      </w:r>
    </w:p>
    <w:p w:rsidR="003E24C6" w:rsidRDefault="007A2F0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   (escluso mod. 730)</w:t>
      </w:r>
    </w:p>
    <w:p w:rsidR="007A2F06" w:rsidRDefault="007A2F06" w:rsidP="007A2F0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>
        <w:rPr>
          <w:rFonts w:ascii="Verdana" w:eastAsia="Meiryo UI" w:hAnsi="Verdana" w:cs="Utsaah"/>
          <w:sz w:val="20"/>
          <w:szCs w:val="20"/>
        </w:rPr>
        <w:t xml:space="preserve">D2 - </w:t>
      </w:r>
      <w:r w:rsidRPr="00647B5A">
        <w:rPr>
          <w:rFonts w:ascii="Verdana" w:eastAsia="Meiryo UI" w:hAnsi="Verdana" w:cs="Utsaah"/>
          <w:sz w:val="20"/>
          <w:szCs w:val="20"/>
        </w:rPr>
        <w:t>Rilascio visto di conformità, certificazione tributaria e asseverazione studi di settore</w:t>
      </w:r>
    </w:p>
    <w:p w:rsidR="007A2F06" w:rsidRPr="00647B5A" w:rsidRDefault="007A2F0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   (compreso mod. 730 con franchigia fissa € 2.000 per ogni visto infedele)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5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4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3264AB">
        <w:rPr>
          <w:rFonts w:ascii="Verdana" w:eastAsia="Meiryo UI" w:hAnsi="Verdana" w:cs="Utsaah"/>
          <w:sz w:val="20"/>
          <w:szCs w:val="20"/>
        </w:rPr>
        <w:t xml:space="preserve">E - </w:t>
      </w:r>
      <w:r w:rsidRPr="00647B5A">
        <w:rPr>
          <w:rFonts w:ascii="Verdana" w:eastAsia="Meiryo UI" w:hAnsi="Verdana" w:cs="Utsaah"/>
          <w:sz w:val="20"/>
          <w:szCs w:val="20"/>
        </w:rPr>
        <w:t>Vendita forzata di immobili</w:t>
      </w:r>
      <w:r w:rsidR="007A2F06">
        <w:rPr>
          <w:rFonts w:ascii="Verdana" w:eastAsia="Meiryo UI" w:hAnsi="Verdana" w:cs="Utsaah"/>
          <w:sz w:val="20"/>
          <w:szCs w:val="20"/>
        </w:rPr>
        <w:t xml:space="preserve"> (max € 500.000)</w:t>
      </w:r>
    </w:p>
    <w:p w:rsidR="003E24C6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ontrollo6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5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3264AB">
        <w:rPr>
          <w:rFonts w:ascii="Verdana" w:eastAsia="Meiryo UI" w:hAnsi="Verdana" w:cs="Utsaah"/>
          <w:sz w:val="20"/>
          <w:szCs w:val="20"/>
        </w:rPr>
        <w:t xml:space="preserve">F - </w:t>
      </w:r>
      <w:r w:rsidRPr="00647B5A">
        <w:rPr>
          <w:rFonts w:ascii="Verdana" w:eastAsia="Meiryo UI" w:hAnsi="Verdana" w:cs="Utsaah"/>
          <w:sz w:val="20"/>
          <w:szCs w:val="20"/>
        </w:rPr>
        <w:t>Riduzione della retroattività da 5 a 2 anni</w:t>
      </w:r>
    </w:p>
    <w:p w:rsidR="003264AB" w:rsidRDefault="00C86208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059E2">
        <w:rPr>
          <w:rFonts w:ascii="Verdana" w:eastAsia="Meiryo UI" w:hAnsi="Verdana" w:cs="Utsaah"/>
          <w:sz w:val="20"/>
          <w:szCs w:val="20"/>
        </w:rPr>
      </w:r>
      <w:r w:rsidR="005059E2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3264AB">
        <w:rPr>
          <w:rFonts w:ascii="Verdana" w:eastAsia="Meiryo UI" w:hAnsi="Verdana" w:cs="Utsaah"/>
          <w:sz w:val="20"/>
          <w:szCs w:val="20"/>
        </w:rPr>
        <w:t xml:space="preserve">G - </w:t>
      </w:r>
      <w:r>
        <w:rPr>
          <w:rFonts w:ascii="Verdana" w:eastAsia="Meiryo UI" w:hAnsi="Verdana" w:cs="Utsaah"/>
          <w:sz w:val="20"/>
          <w:szCs w:val="20"/>
        </w:rPr>
        <w:t>Giovane professionista (iscrizione all’Albo non anteriore 4 anni dalla decorrenza</w:t>
      </w:r>
    </w:p>
    <w:p w:rsidR="00C86208" w:rsidRPr="00647B5A" w:rsidRDefault="003264AB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  </w:t>
      </w:r>
      <w:r w:rsidR="00C86208">
        <w:rPr>
          <w:rFonts w:ascii="Verdana" w:eastAsia="Meiryo UI" w:hAnsi="Verdana" w:cs="Utsaah"/>
          <w:sz w:val="20"/>
          <w:szCs w:val="20"/>
        </w:rPr>
        <w:t xml:space="preserve"> polizza)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 MASSIMALI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Per danni patrimoniali: € </w:t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6" w:name="Testo9"/>
      <w:r w:rsidRPr="00647B5A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b/>
          <w:bCs/>
          <w:sz w:val="20"/>
          <w:szCs w:val="20"/>
        </w:rPr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bookmarkStart w:id="17" w:name="_GoBack"/>
      <w:r w:rsidRPr="00647B5A">
        <w:rPr>
          <w:rFonts w:ascii="Verdana" w:eastAsia="Meiryo UI" w:hAnsi="Verdana" w:cs="Utsaah"/>
          <w:b/>
          <w:bCs/>
          <w:noProof/>
          <w:sz w:val="20"/>
          <w:szCs w:val="20"/>
        </w:rPr>
        <w:t xml:space="preserve"> </w:t>
      </w:r>
      <w:bookmarkEnd w:id="17"/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16"/>
      <w:r w:rsidRPr="00647B5A">
        <w:rPr>
          <w:rFonts w:ascii="Verdana" w:eastAsia="Meiryo UI" w:hAnsi="Verdana" w:cs="Utsaah"/>
          <w:sz w:val="20"/>
          <w:szCs w:val="20"/>
        </w:rPr>
        <w:t xml:space="preserve"> per anno assicurativo e per sinistro;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Per  danni corporali e materiali: € </w:t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8" w:name="Testo10"/>
      <w:r w:rsidRPr="00647B5A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b/>
          <w:bCs/>
          <w:sz w:val="20"/>
          <w:szCs w:val="20"/>
        </w:rPr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b/>
          <w:bCs/>
          <w:noProof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18"/>
      <w:r w:rsidRPr="00647B5A">
        <w:rPr>
          <w:rFonts w:ascii="Verdana" w:eastAsia="Meiryo UI" w:hAnsi="Verdana" w:cs="Utsaah"/>
          <w:sz w:val="20"/>
          <w:szCs w:val="20"/>
        </w:rPr>
        <w:t xml:space="preserve"> per anno assicurativo e per sinistro;</w:t>
      </w:r>
    </w:p>
    <w:p w:rsidR="003E24C6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Per attività di Sindaco di società e revisore dei conti: 30% del massimale pattuito max 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>€ 500.000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IL PREMIO</w:t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Introiti annui €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9" w:name="Testo12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9"/>
      <w:r w:rsidRPr="00647B5A">
        <w:rPr>
          <w:rFonts w:ascii="Verdana" w:eastAsia="Meiryo UI" w:hAnsi="Verdana" w:cs="Utsaah"/>
          <w:sz w:val="20"/>
          <w:szCs w:val="20"/>
        </w:rPr>
        <w:tab/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Totale premio annuo lordo € </w:t>
      </w:r>
      <w:bookmarkStart w:id="20" w:name="Testo20"/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20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b/>
          <w:bCs/>
          <w:sz w:val="20"/>
          <w:szCs w:val="20"/>
        </w:rPr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t>0,00</w:t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20"/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LA DURATA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La durata del contratto è di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1" w:name="Testo19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21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p w:rsidR="003E24C6" w:rsidRPr="00647B5A" w:rsidRDefault="003E24C6" w:rsidP="003E24C6">
      <w:pPr>
        <w:spacing w:after="0"/>
        <w:ind w:left="142"/>
        <w:rPr>
          <w:rFonts w:ascii="Verdana" w:hAnsi="Verdana" w:cs="Calibri"/>
          <w:color w:val="262626" w:themeColor="text1" w:themeTint="D9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  <w:t>REALE MUTUA ASSICURAZIONI</w:t>
      </w: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E2" w:rsidRDefault="005059E2">
      <w:pPr>
        <w:spacing w:after="0"/>
      </w:pPr>
      <w:r>
        <w:separator/>
      </w:r>
    </w:p>
  </w:endnote>
  <w:endnote w:type="continuationSeparator" w:id="0">
    <w:p w:rsidR="005059E2" w:rsidRDefault="005059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Up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4B6DDB87" wp14:editId="508BA754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42F8AAED" wp14:editId="58C2306B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CC86F69" wp14:editId="2066D042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E2" w:rsidRDefault="005059E2">
      <w:pPr>
        <w:spacing w:after="0"/>
      </w:pPr>
      <w:r>
        <w:separator/>
      </w:r>
    </w:p>
  </w:footnote>
  <w:footnote w:type="continuationSeparator" w:id="0">
    <w:p w:rsidR="005059E2" w:rsidRDefault="005059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89F20D4" wp14:editId="2BBB1A4B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43EC6857" wp14:editId="5F6BBB2E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2A5"/>
    <w:multiLevelType w:val="hybridMultilevel"/>
    <w:tmpl w:val="D2B612A2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5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7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197CF1"/>
    <w:multiLevelType w:val="hybridMultilevel"/>
    <w:tmpl w:val="F66E723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8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2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061615"/>
    <w:multiLevelType w:val="hybridMultilevel"/>
    <w:tmpl w:val="79F4E14C"/>
    <w:lvl w:ilvl="0" w:tplc="B5BA42B4">
      <w:numFmt w:val="bullet"/>
      <w:lvlText w:val="-"/>
      <w:lvlJc w:val="left"/>
      <w:pPr>
        <w:ind w:left="502" w:hanging="360"/>
      </w:pPr>
      <w:rPr>
        <w:rFonts w:ascii="Meiryo UI" w:eastAsia="Meiryo UI" w:hAnsi="Meiryo UI" w:cs="Meiryo UI" w:hint="eastAsi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2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23"/>
  </w:num>
  <w:num w:numId="13">
    <w:abstractNumId w:val="7"/>
  </w:num>
  <w:num w:numId="14">
    <w:abstractNumId w:val="8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1"/>
  </w:num>
  <w:num w:numId="20">
    <w:abstractNumId w:val="2"/>
  </w:num>
  <w:num w:numId="21">
    <w:abstractNumId w:val="24"/>
  </w:num>
  <w:num w:numId="22">
    <w:abstractNumId w:val="16"/>
  </w:num>
  <w:num w:numId="23">
    <w:abstractNumId w:val="15"/>
  </w:num>
  <w:num w:numId="24">
    <w:abstractNumId w:val="0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ZJTbXmA01goxr431iv8RF64aGFs=" w:salt="pT6Q4oGngo//fvSnQrStI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1F5460"/>
    <w:rsid w:val="00205AA9"/>
    <w:rsid w:val="00224380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264AB"/>
    <w:rsid w:val="00350C5C"/>
    <w:rsid w:val="00365B76"/>
    <w:rsid w:val="003E24C6"/>
    <w:rsid w:val="003F592D"/>
    <w:rsid w:val="00411B89"/>
    <w:rsid w:val="00462526"/>
    <w:rsid w:val="005059E2"/>
    <w:rsid w:val="00513AD0"/>
    <w:rsid w:val="00525B45"/>
    <w:rsid w:val="0058773A"/>
    <w:rsid w:val="00594771"/>
    <w:rsid w:val="005C3FB8"/>
    <w:rsid w:val="00607062"/>
    <w:rsid w:val="006506A4"/>
    <w:rsid w:val="006C15F1"/>
    <w:rsid w:val="0072271D"/>
    <w:rsid w:val="00726109"/>
    <w:rsid w:val="00760AFE"/>
    <w:rsid w:val="007A2F06"/>
    <w:rsid w:val="007C1182"/>
    <w:rsid w:val="007E45FB"/>
    <w:rsid w:val="007F391B"/>
    <w:rsid w:val="00816407"/>
    <w:rsid w:val="008B6136"/>
    <w:rsid w:val="008D0EA3"/>
    <w:rsid w:val="0090674C"/>
    <w:rsid w:val="00930B80"/>
    <w:rsid w:val="0095647A"/>
    <w:rsid w:val="00981F13"/>
    <w:rsid w:val="009B5874"/>
    <w:rsid w:val="009C4E37"/>
    <w:rsid w:val="009E6A5F"/>
    <w:rsid w:val="00A07094"/>
    <w:rsid w:val="00A13EBD"/>
    <w:rsid w:val="00A452E0"/>
    <w:rsid w:val="00A45EF1"/>
    <w:rsid w:val="00A718AA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55E08"/>
    <w:rsid w:val="00C86208"/>
    <w:rsid w:val="00C9626E"/>
    <w:rsid w:val="00CD0DE3"/>
    <w:rsid w:val="00CE3B4F"/>
    <w:rsid w:val="00D36463"/>
    <w:rsid w:val="00D37827"/>
    <w:rsid w:val="00D53591"/>
    <w:rsid w:val="00DB7254"/>
    <w:rsid w:val="00DC1C8D"/>
    <w:rsid w:val="00DC61CB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paragraph" w:styleId="Paragrafoelenco">
    <w:name w:val="List Paragraph"/>
    <w:basedOn w:val="Normale"/>
    <w:rsid w:val="0036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paragraph" w:styleId="Paragrafoelenco">
    <w:name w:val="List Paragraph"/>
    <w:basedOn w:val="Normale"/>
    <w:rsid w:val="0036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7</cp:revision>
  <cp:lastPrinted>2016-01-06T10:49:00Z</cp:lastPrinted>
  <dcterms:created xsi:type="dcterms:W3CDTF">2016-04-01T12:30:00Z</dcterms:created>
  <dcterms:modified xsi:type="dcterms:W3CDTF">2016-04-01T16:18:00Z</dcterms:modified>
</cp:coreProperties>
</file>