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C699E" w:rsidRDefault="00AC699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C699E" w:rsidRDefault="00AC699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C699E" w:rsidRDefault="00AC699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C699E" w:rsidRPr="00AC699E" w:rsidRDefault="00AC699E" w:rsidP="00AC699E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Spett.le</w:t>
      </w:r>
    </w:p>
    <w:p w:rsidR="00AC699E" w:rsidRPr="00AC699E" w:rsidRDefault="00AC699E" w:rsidP="00AC699E">
      <w:pPr>
        <w:spacing w:after="0"/>
        <w:ind w:left="4956" w:firstLine="708"/>
        <w:rPr>
          <w:rFonts w:ascii="Verdana" w:eastAsia="Meiryo UI" w:hAnsi="Verdana" w:cs="Utsaah"/>
          <w:b/>
          <w:sz w:val="20"/>
          <w:szCs w:val="20"/>
        </w:rPr>
      </w:pPr>
      <w:r w:rsidRPr="00AC699E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0" w:name="Testo32"/>
      <w:r w:rsidRPr="00AC699E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b/>
          <w:sz w:val="20"/>
          <w:szCs w:val="20"/>
        </w:rPr>
      </w:r>
      <w:r w:rsidRPr="00AC699E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AC699E" w:rsidRPr="00AC699E" w:rsidRDefault="00AC699E" w:rsidP="00AC699E">
      <w:pPr>
        <w:spacing w:after="0"/>
        <w:ind w:left="4239"/>
        <w:rPr>
          <w:rFonts w:ascii="Verdana" w:eastAsia="Meiryo UI" w:hAnsi="Verdana" w:cs="Utsaah"/>
          <w:b/>
          <w:sz w:val="20"/>
          <w:szCs w:val="20"/>
        </w:rPr>
      </w:pPr>
      <w:bookmarkStart w:id="1" w:name="Testo2"/>
      <w:r w:rsidRPr="00AC699E">
        <w:rPr>
          <w:rFonts w:ascii="Verdana" w:eastAsia="Meiryo UI" w:hAnsi="Verdana" w:cs="Utsaah"/>
          <w:sz w:val="20"/>
          <w:szCs w:val="20"/>
        </w:rPr>
        <w:t xml:space="preserve">      </w:t>
      </w:r>
      <w:r w:rsidRPr="00AC699E">
        <w:rPr>
          <w:rFonts w:ascii="Verdana" w:eastAsia="Meiryo UI" w:hAnsi="Verdana" w:cs="Utsaah"/>
          <w:sz w:val="20"/>
          <w:szCs w:val="20"/>
        </w:rPr>
        <w:tab/>
      </w:r>
      <w:r w:rsidRPr="00AC699E">
        <w:rPr>
          <w:rFonts w:ascii="Verdana" w:eastAsia="Meiryo UI" w:hAnsi="Verdana" w:cs="Utsaah"/>
          <w:sz w:val="20"/>
          <w:szCs w:val="20"/>
        </w:rPr>
        <w:tab/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1"/>
      <w:r w:rsidRPr="00AC699E">
        <w:rPr>
          <w:rFonts w:ascii="Verdana" w:eastAsia="Meiryo UI" w:hAnsi="Verdana" w:cs="Utsaah"/>
          <w:b/>
          <w:sz w:val="20"/>
          <w:szCs w:val="20"/>
        </w:rPr>
        <w:tab/>
      </w:r>
      <w:r w:rsidRPr="00AC699E">
        <w:rPr>
          <w:rFonts w:ascii="Verdana" w:eastAsia="Meiryo UI" w:hAnsi="Verdana" w:cs="Utsaah"/>
          <w:b/>
          <w:sz w:val="20"/>
          <w:szCs w:val="20"/>
        </w:rPr>
        <w:tab/>
      </w:r>
    </w:p>
    <w:bookmarkStart w:id="2" w:name="Testo3"/>
    <w:p w:rsidR="00AC699E" w:rsidRPr="00AC699E" w:rsidRDefault="00AC699E" w:rsidP="00AC699E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AC699E" w:rsidRPr="00AC699E" w:rsidRDefault="00AC699E" w:rsidP="00AC699E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C.F.:  </w:t>
      </w:r>
      <w:bookmarkStart w:id="3" w:name="Testo4"/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noProof/>
          <w:sz w:val="20"/>
          <w:szCs w:val="20"/>
        </w:rPr>
        <w:t xml:space="preserve"> 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AC699E" w:rsidRPr="00AC699E" w:rsidRDefault="00AC699E" w:rsidP="00AC699E">
      <w:pPr>
        <w:spacing w:before="240" w:after="0"/>
        <w:outlineLvl w:val="4"/>
        <w:rPr>
          <w:rFonts w:ascii="Verdana" w:eastAsia="Meiryo UI" w:hAnsi="Verdana" w:cs="Utsaah"/>
          <w:bCs/>
          <w:iCs/>
          <w:sz w:val="20"/>
          <w:szCs w:val="20"/>
          <w:lang w:eastAsia="it-IT"/>
        </w:rPr>
      </w:pPr>
      <w:r w:rsidRPr="00AC699E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 xml:space="preserve">   </w:t>
      </w:r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  <w:t xml:space="preserve">Monza, </w:t>
      </w:r>
      <w:bookmarkStart w:id="4" w:name="Testo6"/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  <w:instrText xml:space="preserve"> FORMTEXT </w:instrText>
      </w:r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</w:r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separate"/>
      </w:r>
      <w:r w:rsidRPr="00AC699E">
        <w:rPr>
          <w:rFonts w:ascii="Verdana" w:eastAsia="Meiryo UI" w:hAnsi="Verdana" w:cs="Utsaah"/>
          <w:bCs/>
          <w:iCs/>
          <w:noProof/>
          <w:sz w:val="20"/>
          <w:szCs w:val="20"/>
          <w:lang w:eastAsia="it-IT"/>
        </w:rPr>
        <w:t xml:space="preserve"> </w:t>
      </w:r>
      <w:r w:rsidRPr="00AC699E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end"/>
      </w:r>
      <w:bookmarkEnd w:id="4"/>
    </w:p>
    <w:p w:rsidR="00AC699E" w:rsidRPr="00AC699E" w:rsidRDefault="00AC699E" w:rsidP="00AC699E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bookmarkStart w:id="5" w:name="_GoBack"/>
      <w:bookmarkEnd w:id="5"/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AC699E" w:rsidRPr="00AC699E" w:rsidTr="0060182A">
        <w:tc>
          <w:tcPr>
            <w:tcW w:w="5000" w:type="pct"/>
            <w:tcBorders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keepLines/>
              <w:spacing w:before="200" w:after="240"/>
              <w:ind w:left="142"/>
              <w:jc w:val="center"/>
              <w:outlineLvl w:val="1"/>
              <w:rPr>
                <w:rFonts w:ascii="Verdana" w:eastAsia="Meiryo UI" w:hAnsi="Verdana" w:cs="Utsaah"/>
                <w:b/>
                <w:bCs/>
                <w:color w:val="4F81BD" w:themeColor="accent1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  <w:t xml:space="preserve">COMPOSITA REALE </w:t>
            </w:r>
            <w:r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  <w:t xml:space="preserve">COMMERCIALE </w:t>
            </w:r>
            <w:r w:rsidRPr="00AC699E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(</w:t>
            </w:r>
            <w:proofErr w:type="spellStart"/>
            <w:r w:rsidRPr="00AC699E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mod</w:t>
            </w:r>
            <w:proofErr w:type="spellEnd"/>
            <w:r w:rsidRPr="00AC699E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. 5418 INC)</w:t>
            </w:r>
          </w:p>
        </w:tc>
      </w:tr>
    </w:tbl>
    <w:p w:rsidR="00AC699E" w:rsidRPr="00AC699E" w:rsidRDefault="00AC699E" w:rsidP="00AC699E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Ubicazione: </w:t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6" w:name="Testo25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7" w:name="Testo26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</w:p>
    <w:p w:rsidR="00AC699E" w:rsidRPr="00AC699E" w:rsidRDefault="00AC699E" w:rsidP="00AC699E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Attività: </w:t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8" w:name="Testo28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  <w:r w:rsidRPr="00AC699E">
        <w:rPr>
          <w:rFonts w:ascii="Verdana" w:eastAsia="Meiryo UI" w:hAnsi="Verdana" w:cs="Utsaah"/>
          <w:sz w:val="20"/>
          <w:szCs w:val="20"/>
        </w:rPr>
        <w:t xml:space="preserve"> - Codice </w:t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9" w:name="Testo29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</w:p>
    <w:p w:rsidR="00AC699E" w:rsidRPr="00AC699E" w:rsidRDefault="00AC699E" w:rsidP="00AC699E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Fabbricato classe </w:t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0" w:name="Testo30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Pr="00AC699E">
        <w:rPr>
          <w:rFonts w:ascii="Verdana" w:eastAsia="Meiryo UI" w:hAnsi="Verdana" w:cs="Utsaah"/>
          <w:sz w:val="20"/>
          <w:szCs w:val="20"/>
        </w:rPr>
        <w:tab/>
        <w:t xml:space="preserve">Cod. </w:t>
      </w:r>
      <w:r w:rsidRPr="00AC699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1" w:name="Testo31"/>
      <w:r w:rsidRPr="00AC699E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AC699E">
        <w:rPr>
          <w:rFonts w:ascii="Verdana" w:eastAsia="Meiryo UI" w:hAnsi="Verdana" w:cs="Utsaah"/>
          <w:sz w:val="20"/>
          <w:szCs w:val="20"/>
        </w:rPr>
      </w:r>
      <w:r w:rsidRPr="00AC699E">
        <w:rPr>
          <w:rFonts w:ascii="Verdana" w:eastAsia="Meiryo UI" w:hAnsi="Verdana" w:cs="Utsaah"/>
          <w:sz w:val="20"/>
          <w:szCs w:val="20"/>
        </w:rPr>
        <w:fldChar w:fldCharType="separate"/>
      </w:r>
      <w:r w:rsidRPr="00AC699E">
        <w:rPr>
          <w:rFonts w:ascii="Verdana" w:eastAsia="Meiryo UI" w:hAnsi="Verdana" w:cs="Utsaah"/>
          <w:noProof/>
          <w:sz w:val="20"/>
          <w:szCs w:val="20"/>
        </w:rPr>
        <w:t> </w:t>
      </w:r>
      <w:r w:rsidRPr="00AC699E">
        <w:rPr>
          <w:rFonts w:ascii="Verdana" w:eastAsia="Meiryo UI" w:hAnsi="Verdana" w:cs="Utsaah"/>
          <w:noProof/>
          <w:sz w:val="20"/>
          <w:szCs w:val="20"/>
        </w:rPr>
        <w:t> </w:t>
      </w:r>
      <w:r w:rsidRPr="00AC699E">
        <w:rPr>
          <w:rFonts w:ascii="Verdana" w:eastAsia="Meiryo UI" w:hAnsi="Verdana" w:cs="Utsaah"/>
          <w:noProof/>
          <w:sz w:val="20"/>
          <w:szCs w:val="20"/>
        </w:rPr>
        <w:t> </w:t>
      </w:r>
      <w:r w:rsidRPr="00AC699E">
        <w:rPr>
          <w:rFonts w:ascii="Verdana" w:eastAsia="Meiryo UI" w:hAnsi="Verdana" w:cs="Utsaah"/>
          <w:noProof/>
          <w:sz w:val="20"/>
          <w:szCs w:val="20"/>
        </w:rPr>
        <w:t> </w:t>
      </w:r>
      <w:r w:rsidRPr="00AC699E">
        <w:rPr>
          <w:rFonts w:ascii="Verdana" w:eastAsia="Meiryo UI" w:hAnsi="Verdana" w:cs="Utsaah"/>
          <w:noProof/>
          <w:sz w:val="20"/>
          <w:szCs w:val="20"/>
        </w:rPr>
        <w:t> </w:t>
      </w:r>
      <w:r w:rsidRPr="00AC699E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tab/>
      </w:r>
      <w:r w:rsidRPr="00AC699E">
        <w:rPr>
          <w:rFonts w:ascii="Verdana" w:eastAsia="Meiryo UI" w:hAnsi="Verdana" w:cs="Utsaah"/>
          <w:sz w:val="20"/>
          <w:szCs w:val="20"/>
        </w:rPr>
        <w:tab/>
        <w:t xml:space="preserve"> </w:t>
      </w:r>
      <w:r w:rsidRPr="00AC699E">
        <w:rPr>
          <w:rFonts w:ascii="Verdana" w:eastAsia="Meiryo UI" w:hAnsi="Verdana" w:cs="Utsaah"/>
          <w:sz w:val="20"/>
          <w:szCs w:val="20"/>
        </w:rPr>
        <w:tab/>
      </w:r>
      <w:r w:rsidRPr="00AC699E">
        <w:rPr>
          <w:rFonts w:ascii="Verdana" w:eastAsia="Meiryo UI" w:hAnsi="Verdana" w:cs="Utsaah"/>
          <w:sz w:val="20"/>
          <w:szCs w:val="20"/>
        </w:rPr>
        <w:tab/>
      </w:r>
      <w:r w:rsidRPr="00AC699E">
        <w:rPr>
          <w:rFonts w:ascii="Verdana" w:eastAsia="Meiryo UI" w:hAnsi="Verdana" w:cs="Utsaah"/>
          <w:sz w:val="20"/>
          <w:szCs w:val="20"/>
        </w:rPr>
        <w:tab/>
        <w:t xml:space="preserve"> 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345"/>
        <w:gridCol w:w="260"/>
      </w:tblGrid>
      <w:tr w:rsidR="00AC699E" w:rsidRPr="00AC699E" w:rsidTr="0060182A">
        <w:trPr>
          <w:cantSplit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INCENDIO (</w:t>
            </w:r>
            <w:bookmarkStart w:id="12" w:name="Elenco8"/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12"/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AC699E" w:rsidRPr="00AC699E" w:rsidTr="0060182A">
        <w:tc>
          <w:tcPr>
            <w:tcW w:w="3667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Fabbricato/i (valore di ricostruzione a nuovo)</w:t>
            </w:r>
          </w:p>
        </w:tc>
        <w:tc>
          <w:tcPr>
            <w:tcW w:w="1333" w:type="pct"/>
            <w:gridSpan w:val="2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sto8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Rischio locativo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Macchinario, attrezzature, arredamento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4" w:name="Testo9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Merci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Ricorso terzi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Integrazione spese di demolizione e sgombero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Fenomeno elettrico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Beni assicurati a condizioni speciali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Maggiori costi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Merci in refrigerazione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Rottura lastre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Altra partita: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Perdita pigioni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48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incendio, fulmine, esplosione, scoppio, implosione;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caduta aerei, urto veicoli, onda sonica, fumo, fumi-gas-vapori;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danni arrecati dalle Autorità allo scopo di limitare, impedire od arrestare l’incendio;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fenomeni elettrici ad apparecchiature elettroniche asservite al macchinario;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spese di demolizione e sgombero fino al 10% del danno –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€ 20.000; spese di rimozione e ricollocamento fino al 10% del danno -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€ 5.000);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oneri di urbanizzazione;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onorari di Periti, Consulenti e Professionisti (fino al 5% del danno con il massimo di </w:t>
            </w:r>
          </w:p>
          <w:p w:rsidR="00AC699E" w:rsidRPr="00AC699E" w:rsidRDefault="00AC699E" w:rsidP="00AC699E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€ 5.000);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colpa grave dell’Assicurato e familiari conviventi, dolo delle persone di cui debba rispondere a norma di legge;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rimpiazzo combustibile (€ 5.000);</w:t>
            </w:r>
          </w:p>
          <w:p w:rsidR="00AC699E" w:rsidRPr="00AC699E" w:rsidRDefault="00AC699E" w:rsidP="00AC699E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beni presso terzi e altre ubicazioni (10% delle somme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€ 50.000 per ubicazione)</w:t>
            </w:r>
          </w:p>
        </w:tc>
        <w:tc>
          <w:tcPr>
            <w:tcW w:w="133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A – Beni assicurati a condizioni speciali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B – Integrazione spese di demolizione e sgombero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C – Ricorso terzi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lo3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5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D – Rischio locativo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ontrollo2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6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E – Fenomeno elettrico (scoperto 10% minimo € 500)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ontrollo1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7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F – Indennità aggiuntiva forfettaria del 10% per danni indiretti  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G – Maggiori costi (franchigia € 500)  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H – Eventi socio-politici (scoperto 10% minimo € 2.500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70% delle somme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 – Terrorismo (scoperto 10% minimo € 2.500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70% delle somme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L – Vento e grandine (scoperto 10% minimo € 1.500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70% delle somme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M – Vento e grandine su fragili (scoperto 15% minimo € 2.500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10% della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somma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ass.ta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al fabbricato con il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di € 50.000)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N – Acqua piovana  €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25.000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(scoperto 10% minimo € 500)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O – Spargimento di acqua (scoperto 10% minimo € 250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€ 50.000)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P - Gelo €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10.000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(scoperto 10% minimo € 250)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Q – Rimborso spese ricerca guasti (franchigia € 250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risarcimento € 3.000 per sinistro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e € 10.000 per anno)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R – Dispersione di liquidi (scoperto 10% minimo € 500)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S – Merci in refrigerazione (scoperto 10% minimo € 1.000)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T – Rottura lastre (franchigia € 100 e limite per singola lastra € 1.000)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U – Perdita pigioni €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10.000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(franchigia € 250)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V – Sovraccarico neve (scoperto 10% minimo € 2.000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30% delle somme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; scoperto 20% minimo € 2.000 per i fabbricati vuoti ed inoccupati)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J – Terremoto (scoperto 10% minimo € 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risarcimento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K - Inondazioni, alluvioni, allagamenti (franchigia €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8" w:name="Testo33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8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/scoperto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9" w:name="Testo36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9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0" w:name="Testo37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0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risarcimento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1" w:name="Testo34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0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1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della somma assicurata)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SEZIONE FURTO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>(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12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Contenuto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primo rischio assoluto"/>
                    <w:listEntry w:val="a valore intero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3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Altra partita: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Furto e rapina dei valori (P.R.A.)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Veicoli all’aperto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primo rischio assoluto"/>
                    <w:listEntry w:val="a valore intero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AC699E" w:rsidRPr="00AC699E" w:rsidRDefault="00AC699E" w:rsidP="00AC699E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    </w:t>
      </w:r>
      <w:r w:rsidRPr="00AC699E">
        <w:rPr>
          <w:rFonts w:ascii="Verdana" w:eastAsia="Meiryo UI" w:hAnsi="Verdana" w:cs="Utsaah"/>
          <w:b/>
          <w:sz w:val="20"/>
          <w:szCs w:val="20"/>
        </w:rPr>
        <w:t>Garanzia base: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furto; rapina ed estorsione;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guasti cagionati dai ladri al fabbricato e fissi ed infissi e atti vandalici (10% della somma</w:t>
      </w:r>
    </w:p>
    <w:p w:rsidR="00AC699E" w:rsidRPr="00AC699E" w:rsidRDefault="00AC699E" w:rsidP="00AC699E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  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ass.ta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minimo € 1.000 e 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€ 10.000)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portavalori (scoperto 15% e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indennizzo 10% della somma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ass.ta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€ 5.000)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denaro e valori (scoperto 15% per rapina o estorsione e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indennizzo 10% della somma</w:t>
      </w:r>
    </w:p>
    <w:p w:rsidR="00AC699E" w:rsidRPr="00AC699E" w:rsidRDefault="00AC699E" w:rsidP="00AC699E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  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ass.ta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minimo € 1.000 e  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€ 5.000)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spese per il rinforzo dei mezzi di prevenzione e di chiusura (</w:t>
      </w:r>
      <w:proofErr w:type="spellStart"/>
      <w:r w:rsidRPr="00AC699E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AC699E">
        <w:rPr>
          <w:rFonts w:ascii="Verdana" w:eastAsia="Meiryo UI" w:hAnsi="Verdana" w:cs="Utsaah"/>
          <w:sz w:val="20"/>
          <w:szCs w:val="20"/>
        </w:rPr>
        <w:t xml:space="preserve"> 10% del danno e limite di</w:t>
      </w:r>
    </w:p>
    <w:p w:rsidR="00AC699E" w:rsidRPr="00AC699E" w:rsidRDefault="00AC699E" w:rsidP="00AC699E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   € 5.000)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 xml:space="preserve">onorari di Periti, Consulenti e Professionisti (fino al 10% del danno con il massimo di </w:t>
      </w:r>
    </w:p>
    <w:p w:rsidR="00AC699E" w:rsidRPr="00AC699E" w:rsidRDefault="00AC699E" w:rsidP="00AC699E">
      <w:pPr>
        <w:spacing w:after="0"/>
        <w:ind w:left="360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€ 2.500);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furto con utilizzo mezzi di chiusura difformi (scoperto 20%)</w:t>
      </w:r>
    </w:p>
    <w:p w:rsidR="00AC699E" w:rsidRPr="00AC699E" w:rsidRDefault="00AC699E" w:rsidP="00AC699E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AC699E">
        <w:rPr>
          <w:rFonts w:ascii="Verdana" w:eastAsia="Meiryo UI" w:hAnsi="Verdana" w:cs="Utsaah"/>
          <w:sz w:val="20"/>
          <w:szCs w:val="20"/>
        </w:rPr>
        <w:t>furto utilizzando veicoli nell’azienda (scoperto 20%)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AC699E" w:rsidRPr="00AC699E" w:rsidTr="0060182A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A – Furto e rapina presso terzi (25% della somma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ass.ta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se P.R.A.; 10% se V.I.)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B – Furto e rapina presso esposizioni, fiere, mostre (scoperto 20% minimo € 500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indennizzo 25% della somma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ass.ta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se P.R.A.; 10% se V.I.)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C – Beni all’aperto (scoperto 20% minimo € 1.000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20% della somma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ass.ta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se P.R.A.; 10% se V.I.)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D – Indennità aggiuntiva in percentuale del 10%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E – Furto e rapina dei valori (scoperto 15%)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F – Furto e rapina dei veicoli all’aperto (scoperto 20% minimo € 1.000)</w:t>
            </w:r>
          </w:p>
        </w:tc>
      </w:tr>
      <w:tr w:rsidR="00AC699E" w:rsidRPr="00AC699E" w:rsidTr="0060182A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G – Impianto di allarme</w:t>
            </w:r>
          </w:p>
        </w:tc>
      </w:tr>
    </w:tbl>
    <w:p w:rsidR="00AC699E" w:rsidRPr="00AC699E" w:rsidRDefault="00AC699E" w:rsidP="00AC699E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66"/>
        <w:gridCol w:w="1646"/>
        <w:gridCol w:w="260"/>
      </w:tblGrid>
      <w:tr w:rsidR="00AC699E" w:rsidRPr="00AC699E" w:rsidTr="0060182A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lastRenderedPageBreak/>
              <w:t>SEZIONE  RESPONSABILITA’  CIVILE  FABBRICATI  (</w:t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AC699E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AC699E" w:rsidRPr="00AC699E" w:rsidTr="0060182A">
        <w:tc>
          <w:tcPr>
            <w:tcW w:w="4867" w:type="pct"/>
            <w:gridSpan w:val="2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4025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Massimali di Responsabilità Civile verso terzi:</w:t>
            </w:r>
          </w:p>
        </w:tc>
        <w:tc>
          <w:tcPr>
            <w:tcW w:w="975" w:type="pct"/>
            <w:gridSpan w:val="2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4025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Per ogni sinistro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2" w:name="Testo11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1.000.000,00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AC699E" w:rsidRPr="00AC699E" w:rsidTr="0060182A">
        <w:tc>
          <w:tcPr>
            <w:tcW w:w="4025" w:type="pct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>Per ogni persona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3" w:name="Testo12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1.000.000,00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AC699E" w:rsidRPr="00AC699E" w:rsidTr="0060182A">
        <w:tc>
          <w:tcPr>
            <w:tcW w:w="4025" w:type="pct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Per danni a cose 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4" w:name="Testo13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1.000.000,00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AC699E" w:rsidRPr="00AC699E" w:rsidTr="0060182A">
        <w:tc>
          <w:tcPr>
            <w:tcW w:w="4025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Danni da acqua (scoperto 10% minimo € 100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€ 250.000)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4025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A – R.C.O. verso i portieri, custodi, guardiani, giardinieri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B – Danni da sospensione e/o interruzione di attività (scoperto 10% minimo € 250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indennizzo 10% del massimale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€ 250.000)</w:t>
            </w:r>
          </w:p>
        </w:tc>
      </w:tr>
      <w:tr w:rsidR="00AC699E" w:rsidRPr="00AC699E" w:rsidTr="0060182A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C – Inquinamento accidentale (scoperto 10% minimo € 100 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indennizzo 10% del</w:t>
            </w:r>
          </w:p>
          <w:p w:rsidR="00AC699E" w:rsidRPr="00AC699E" w:rsidRDefault="00AC699E" w:rsidP="00AC699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   massimale </w:t>
            </w:r>
            <w:proofErr w:type="spellStart"/>
            <w:r w:rsidRPr="00AC699E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€ 250.000)</w:t>
            </w:r>
          </w:p>
        </w:tc>
      </w:tr>
    </w:tbl>
    <w:p w:rsidR="00AC699E" w:rsidRPr="00AC699E" w:rsidRDefault="00AC699E" w:rsidP="00AC699E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AC699E" w:rsidRPr="00AC699E" w:rsidTr="0060182A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>LA DURATA</w:t>
            </w:r>
          </w:p>
        </w:tc>
      </w:tr>
      <w:tr w:rsidR="00AC699E" w:rsidRPr="00AC699E" w:rsidTr="0060182A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ind w:left="6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La durata del contratto è fissata in anni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5" w:name="Testo23"/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noProof/>
                <w:sz w:val="20"/>
                <w:szCs w:val="20"/>
              </w:rPr>
              <w:t>1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5"/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più eventuale rateo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AC699E" w:rsidRPr="00AC699E" w:rsidRDefault="00AC699E" w:rsidP="00AC699E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AC699E" w:rsidRPr="00AC699E" w:rsidTr="0060182A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>LE CONDIZIONI PARTICOLARI</w:t>
            </w:r>
          </w:p>
        </w:tc>
      </w:tr>
      <w:tr w:rsidR="00AC699E" w:rsidRPr="00AC699E" w:rsidTr="0060182A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ind w:left="60"/>
              <w:rPr>
                <w:rFonts w:ascii="Verdana" w:eastAsia="Meiryo UI" w:hAnsi="Verdana" w:cs="Utsaah"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Pr="00AC699E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AC699E" w:rsidRPr="00AC699E" w:rsidRDefault="00AC699E" w:rsidP="00AC699E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AC699E" w:rsidRPr="00AC699E" w:rsidTr="0060182A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AC699E" w:rsidRPr="00AC699E" w:rsidRDefault="00AC699E" w:rsidP="00AC699E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>IL PREMIO</w:t>
            </w:r>
          </w:p>
        </w:tc>
      </w:tr>
      <w:tr w:rsidR="00AC699E" w:rsidRPr="00AC699E" w:rsidTr="0060182A">
        <w:tc>
          <w:tcPr>
            <w:tcW w:w="3667" w:type="pct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before="240" w:after="0"/>
              <w:outlineLvl w:val="8"/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pPr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Premio </w:t>
            </w:r>
            <w:bookmarkStart w:id="26" w:name="Elenco9"/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begin">
                <w:ffData>
                  <w:name w:val="Elenco9"/>
                  <w:enabled/>
                  <w:calcOnExit w:val="0"/>
                  <w:ddList>
                    <w:result w:val="1"/>
                    <w:listEntry w:val="annuale"/>
                    <w:listEntry w:val="semestrale"/>
                  </w:ddList>
                </w:ffData>
              </w:fldChar>
            </w:r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instrText xml:space="preserve"> FORMDROPDOWN </w:instrText>
            </w:r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r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separate"/>
            </w:r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end"/>
            </w:r>
            <w:bookmarkEnd w:id="26"/>
            <w:r w:rsidRPr="00AC699E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lordo </w:t>
            </w:r>
          </w:p>
        </w:tc>
        <w:tc>
          <w:tcPr>
            <w:tcW w:w="1333" w:type="pct"/>
            <w:tcBorders>
              <w:top w:val="single" w:sz="6" w:space="0" w:color="000000"/>
            </w:tcBorders>
          </w:tcPr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  <w:p w:rsidR="00AC699E" w:rsidRPr="00AC699E" w:rsidRDefault="00AC699E" w:rsidP="00AC699E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7" w:name="Testo18"/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AC699E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AC699E" w:rsidRPr="00AC699E" w:rsidRDefault="00AC699E" w:rsidP="00AC699E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</w:pPr>
    </w:p>
    <w:p w:rsidR="00AC699E" w:rsidRPr="00AC699E" w:rsidRDefault="00AC699E" w:rsidP="00AC699E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</w:pPr>
    </w:p>
    <w:p w:rsidR="00AC699E" w:rsidRPr="00AC699E" w:rsidRDefault="00AC699E" w:rsidP="00AC699E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</w:pP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</w:r>
      <w:r w:rsidRPr="00AC699E"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  <w:tab/>
        <w:t>REALE MUTUA ASSICURAZIONI</w:t>
      </w:r>
    </w:p>
    <w:p w:rsidR="00AC699E" w:rsidRDefault="00AC699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4" w:rsidRDefault="004A3E14">
      <w:pPr>
        <w:spacing w:after="0"/>
      </w:pPr>
      <w:r>
        <w:separator/>
      </w:r>
    </w:p>
  </w:endnote>
  <w:endnote w:type="continuationSeparator" w:id="0">
    <w:p w:rsidR="004A3E14" w:rsidRDefault="004A3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2734023" wp14:editId="1A701DCF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298B3260" wp14:editId="5C1852D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C2F8E6D" wp14:editId="3777B088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4" w:rsidRDefault="004A3E14">
      <w:pPr>
        <w:spacing w:after="0"/>
      </w:pPr>
      <w:r>
        <w:separator/>
      </w:r>
    </w:p>
  </w:footnote>
  <w:footnote w:type="continuationSeparator" w:id="0">
    <w:p w:rsidR="004A3E14" w:rsidRDefault="004A3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A3448A9" wp14:editId="22D45075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61F70B2" wp14:editId="3F332E7C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6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4A3E14"/>
    <w:rsid w:val="00513AD0"/>
    <w:rsid w:val="00525B45"/>
    <w:rsid w:val="0058773A"/>
    <w:rsid w:val="005C3FB8"/>
    <w:rsid w:val="00607062"/>
    <w:rsid w:val="006506A4"/>
    <w:rsid w:val="006C15F1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C699E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2</cp:revision>
  <cp:lastPrinted>2016-01-06T10:49:00Z</cp:lastPrinted>
  <dcterms:created xsi:type="dcterms:W3CDTF">2016-04-01T16:40:00Z</dcterms:created>
  <dcterms:modified xsi:type="dcterms:W3CDTF">2016-04-01T16:40:00Z</dcterms:modified>
</cp:coreProperties>
</file>